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детской субкультуры</w:t>
            </w:r>
          </w:p>
          <w:p>
            <w:pPr>
              <w:jc w:val="center"/>
              <w:spacing w:after="0" w:line="240" w:lineRule="auto"/>
              <w:rPr>
                <w:sz w:val="32"/>
                <w:szCs w:val="32"/>
              </w:rPr>
            </w:pPr>
            <w:r>
              <w:rPr>
                <w:rFonts w:ascii="Times New Roman" w:hAnsi="Times New Roman" w:cs="Times New Roman"/>
                <w:color w:val="#000000"/>
                <w:sz w:val="32"/>
                <w:szCs w:val="32"/>
              </w:rPr>
              <w:t> К.М.06.ДВ.01.02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детской субкультуры»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К.М.06.ДВ.01.02 «Психология детской субкультуры».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детской субкультуры»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методики преподавания, основные принципы деятельностного подхода, виды и приемы современных педагогических технологий</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пути достижения образовательных результатов в области ИКТ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разработки и реализации программ учебных дисциплин в рамках основной общеобразовательной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связанные с информационно-коммуникационными технологиями, действиями (навыками) ИКТ- компетентностями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ИКТ- 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ИКТ-компетентность соответствующей области человеческой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теории воспитания</w:t>
            </w:r>
          </w:p>
        </w:tc>
      </w:tr>
      <w:tr>
        <w:trPr>
          <w:trHeight w:hRule="exact" w:val="936.53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(толерантности, милосердия и др.), нравственной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методами и приемами развития нравственного отношения обучающихся к окружающей действительности</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К.М.06.ДВ.01.02 «Психология детской субкультуры» относится к обязательной части, является дисциплиной Блока Б1. «Дисциплины (модули)». Модуль "Дополнительное образование"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Особенности психокоррекционной работы в образовании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ОПК-4</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Детская субкультура как социально-философское понятие, неформальные</w:t>
            </w:r>
          </w:p>
          <w:p>
            <w:pPr>
              <w:jc w:val="left"/>
              <w:spacing w:after="0" w:line="240" w:lineRule="auto"/>
              <w:rPr>
                <w:sz w:val="24"/>
                <w:szCs w:val="24"/>
              </w:rPr>
            </w:pPr>
            <w:r>
              <w:rPr>
                <w:rFonts w:ascii="Times New Roman" w:hAnsi="Times New Roman" w:cs="Times New Roman"/>
                <w:color w:val="#000000"/>
                <w:sz w:val="24"/>
                <w:szCs w:val="24"/>
              </w:rPr>
              <w:t> молодежные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«Субкультура», «Детская культура» или «Детская субкультура»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Социально-исторические условия и причины появления детской субкультуры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Сущностные характеристики и динамика неформальной детской субкультуры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детской субкультуры, характеристика видового многообразия детских субкультур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Детская субкультура как способ самоидентификации и социализации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"Детская</w:t>
            </w:r>
          </w:p>
          <w:p>
            <w:pPr>
              <w:jc w:val="left"/>
              <w:spacing w:after="0" w:line="240" w:lineRule="auto"/>
              <w:rPr>
                <w:sz w:val="24"/>
                <w:szCs w:val="24"/>
              </w:rPr>
            </w:pPr>
            <w:r>
              <w:rPr>
                <w:rFonts w:ascii="Times New Roman" w:hAnsi="Times New Roman" w:cs="Times New Roman"/>
                <w:color w:val="#000000"/>
                <w:sz w:val="24"/>
                <w:szCs w:val="24"/>
              </w:rPr>
              <w:t> культура", "Детская субкультура", "Детская</w:t>
            </w:r>
          </w:p>
          <w:p>
            <w:pPr>
              <w:jc w:val="left"/>
              <w:spacing w:after="0" w:line="240" w:lineRule="auto"/>
              <w:rPr>
                <w:sz w:val="24"/>
                <w:szCs w:val="24"/>
              </w:rPr>
            </w:pPr>
            <w:r>
              <w:rPr>
                <w:rFonts w:ascii="Times New Roman" w:hAnsi="Times New Roman" w:cs="Times New Roman"/>
                <w:color w:val="#000000"/>
                <w:sz w:val="24"/>
                <w:szCs w:val="24"/>
              </w:rPr>
              <w:t> контркультура", их</w:t>
            </w:r>
          </w:p>
          <w:p>
            <w:pPr>
              <w:jc w:val="left"/>
              <w:spacing w:after="0" w:line="240" w:lineRule="auto"/>
              <w:rPr>
                <w:sz w:val="24"/>
                <w:szCs w:val="24"/>
              </w:rPr>
            </w:pPr>
            <w:r>
              <w:rPr>
                <w:rFonts w:ascii="Times New Roman" w:hAnsi="Times New Roman" w:cs="Times New Roman"/>
                <w:color w:val="#000000"/>
                <w:sz w:val="24"/>
                <w:szCs w:val="24"/>
              </w:rPr>
              <w:t> специфика и</w:t>
            </w:r>
          </w:p>
          <w:p>
            <w:pPr>
              <w:jc w:val="left"/>
              <w:spacing w:after="0" w:line="240" w:lineRule="auto"/>
              <w:rPr>
                <w:sz w:val="24"/>
                <w:szCs w:val="24"/>
              </w:rPr>
            </w:pPr>
            <w:r>
              <w:rPr>
                <w:rFonts w:ascii="Times New Roman" w:hAnsi="Times New Roman" w:cs="Times New Roman"/>
                <w:color w:val="#000000"/>
                <w:sz w:val="24"/>
                <w:szCs w:val="24"/>
              </w:rPr>
              <w:t> взаимосвязь. Теории социокультурной дифференциации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Детская культура как система</w:t>
            </w:r>
          </w:p>
          <w:p>
            <w:pPr>
              <w:jc w:val="left"/>
              <w:spacing w:after="0" w:line="240" w:lineRule="auto"/>
              <w:rPr>
                <w:sz w:val="24"/>
                <w:szCs w:val="24"/>
              </w:rPr>
            </w:pPr>
            <w:r>
              <w:rPr>
                <w:rFonts w:ascii="Times New Roman" w:hAnsi="Times New Roman" w:cs="Times New Roman"/>
                <w:color w:val="#000000"/>
                <w:sz w:val="24"/>
                <w:szCs w:val="24"/>
              </w:rPr>
              <w:t> субкультур. Значение субкультуры для развития</w:t>
            </w:r>
          </w:p>
          <w:p>
            <w:pPr>
              <w:jc w:val="left"/>
              <w:spacing w:after="0" w:line="240" w:lineRule="auto"/>
              <w:rPr>
                <w:sz w:val="24"/>
                <w:szCs w:val="24"/>
              </w:rPr>
            </w:pPr>
            <w:r>
              <w:rPr>
                <w:rFonts w:ascii="Times New Roman" w:hAnsi="Times New Roman" w:cs="Times New Roman"/>
                <w:color w:val="#000000"/>
                <w:sz w:val="24"/>
                <w:szCs w:val="24"/>
              </w:rPr>
              <w:t>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Отчуждение и самоотчуждение от ценностей культуры.</w:t>
            </w:r>
          </w:p>
          <w:p>
            <w:pPr>
              <w:jc w:val="left"/>
              <w:spacing w:after="0" w:line="240" w:lineRule="auto"/>
              <w:rPr>
                <w:sz w:val="24"/>
                <w:szCs w:val="24"/>
              </w:rPr>
            </w:pPr>
            <w:r>
              <w:rPr>
                <w:rFonts w:ascii="Times New Roman" w:hAnsi="Times New Roman" w:cs="Times New Roman"/>
                <w:color w:val="#000000"/>
                <w:sz w:val="24"/>
                <w:szCs w:val="24"/>
              </w:rPr>
              <w:t> Преемственность</w:t>
            </w:r>
          </w:p>
          <w:p>
            <w:pPr>
              <w:jc w:val="left"/>
              <w:spacing w:after="0" w:line="240" w:lineRule="auto"/>
              <w:rPr>
                <w:sz w:val="24"/>
                <w:szCs w:val="24"/>
              </w:rPr>
            </w:pPr>
            <w:r>
              <w:rPr>
                <w:rFonts w:ascii="Times New Roman" w:hAnsi="Times New Roman" w:cs="Times New Roman"/>
                <w:color w:val="#000000"/>
                <w:sz w:val="24"/>
                <w:szCs w:val="24"/>
              </w:rPr>
              <w:t> культурных ценностей и традиций</w:t>
            </w:r>
          </w:p>
          <w:p>
            <w:pPr>
              <w:jc w:val="left"/>
              <w:spacing w:after="0" w:line="240" w:lineRule="auto"/>
              <w:rPr>
                <w:sz w:val="24"/>
                <w:szCs w:val="24"/>
              </w:rPr>
            </w:pPr>
            <w:r>
              <w:rPr>
                <w:rFonts w:ascii="Times New Roman" w:hAnsi="Times New Roman" w:cs="Times New Roman"/>
                <w:color w:val="#000000"/>
                <w:sz w:val="24"/>
                <w:szCs w:val="24"/>
              </w:rPr>
              <w:t> в жизни разных</w:t>
            </w:r>
          </w:p>
          <w:p>
            <w:pPr>
              <w:jc w:val="left"/>
              <w:spacing w:after="0" w:line="240" w:lineRule="auto"/>
              <w:rPr>
                <w:sz w:val="24"/>
                <w:szCs w:val="24"/>
              </w:rPr>
            </w:pPr>
            <w:r>
              <w:rPr>
                <w:rFonts w:ascii="Times New Roman" w:hAnsi="Times New Roman" w:cs="Times New Roman"/>
                <w:color w:val="#000000"/>
                <w:sz w:val="24"/>
                <w:szCs w:val="24"/>
              </w:rPr>
              <w:t> поколений. Проблематизация</w:t>
            </w:r>
          </w:p>
          <w:p>
            <w:pPr>
              <w:jc w:val="left"/>
              <w:spacing w:after="0" w:line="240" w:lineRule="auto"/>
              <w:rPr>
                <w:sz w:val="24"/>
                <w:szCs w:val="24"/>
              </w:rPr>
            </w:pPr>
            <w:r>
              <w:rPr>
                <w:rFonts w:ascii="Times New Roman" w:hAnsi="Times New Roman" w:cs="Times New Roman"/>
                <w:color w:val="#000000"/>
                <w:sz w:val="24"/>
                <w:szCs w:val="24"/>
              </w:rPr>
              <w:t> идентичности: игра и реконструкция.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детские субкультуры. Их типы,</w:t>
            </w:r>
          </w:p>
          <w:p>
            <w:pPr>
              <w:jc w:val="left"/>
              <w:spacing w:after="0" w:line="240" w:lineRule="auto"/>
              <w:rPr>
                <w:sz w:val="24"/>
                <w:szCs w:val="24"/>
              </w:rPr>
            </w:pPr>
            <w:r>
              <w:rPr>
                <w:rFonts w:ascii="Times New Roman" w:hAnsi="Times New Roman" w:cs="Times New Roman"/>
                <w:color w:val="#000000"/>
                <w:sz w:val="24"/>
                <w:szCs w:val="24"/>
              </w:rPr>
              <w:t> направленность.</w:t>
            </w:r>
          </w:p>
          <w:p>
            <w:pPr>
              <w:jc w:val="left"/>
              <w:spacing w:after="0" w:line="240" w:lineRule="auto"/>
              <w:rPr>
                <w:sz w:val="24"/>
                <w:szCs w:val="24"/>
              </w:rPr>
            </w:pPr>
            <w:r>
              <w:rPr>
                <w:rFonts w:ascii="Times New Roman" w:hAnsi="Times New Roman" w:cs="Times New Roman"/>
                <w:color w:val="#000000"/>
                <w:sz w:val="24"/>
                <w:szCs w:val="24"/>
              </w:rPr>
              <w:t> Символическое</w:t>
            </w:r>
          </w:p>
          <w:p>
            <w:pPr>
              <w:jc w:val="left"/>
              <w:spacing w:after="0" w:line="240" w:lineRule="auto"/>
              <w:rPr>
                <w:sz w:val="24"/>
                <w:szCs w:val="24"/>
              </w:rPr>
            </w:pPr>
            <w:r>
              <w:rPr>
                <w:rFonts w:ascii="Times New Roman" w:hAnsi="Times New Roman" w:cs="Times New Roman"/>
                <w:color w:val="#000000"/>
                <w:sz w:val="24"/>
                <w:szCs w:val="24"/>
              </w:rPr>
              <w:t> конструирование</w:t>
            </w:r>
          </w:p>
          <w:p>
            <w:pPr>
              <w:jc w:val="left"/>
              <w:spacing w:after="0" w:line="240" w:lineRule="auto"/>
              <w:rPr>
                <w:sz w:val="24"/>
                <w:szCs w:val="24"/>
              </w:rPr>
            </w:pPr>
            <w:r>
              <w:rPr>
                <w:rFonts w:ascii="Times New Roman" w:hAnsi="Times New Roman" w:cs="Times New Roman"/>
                <w:color w:val="#000000"/>
                <w:sz w:val="24"/>
                <w:szCs w:val="24"/>
              </w:rPr>
              <w:t> сообщества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172.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Детская субкультура как социально-философское понятие, неформальные</w:t>
            </w:r>
          </w:p>
          <w:p>
            <w:pPr>
              <w:jc w:val="center"/>
              <w:spacing w:after="0" w:line="240" w:lineRule="auto"/>
              <w:rPr>
                <w:sz w:val="24"/>
                <w:szCs w:val="24"/>
              </w:rPr>
            </w:pPr>
            <w:r>
              <w:rPr>
                <w:rFonts w:ascii="Times New Roman" w:hAnsi="Times New Roman" w:cs="Times New Roman"/>
                <w:b/>
                <w:color w:val="#000000"/>
                <w:sz w:val="24"/>
                <w:szCs w:val="24"/>
              </w:rPr>
              <w:t> молодежные объединения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983.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социума. Понятие социальной системы. Целостность и системность социума.</w:t>
            </w:r>
          </w:p>
          <w:p>
            <w:pPr>
              <w:jc w:val="both"/>
              <w:spacing w:after="0" w:line="240" w:lineRule="auto"/>
              <w:rPr>
                <w:sz w:val="24"/>
                <w:szCs w:val="24"/>
              </w:rPr>
            </w:pPr>
            <w:r>
              <w:rPr>
                <w:rFonts w:ascii="Times New Roman" w:hAnsi="Times New Roman" w:cs="Times New Roman"/>
                <w:color w:val="#000000"/>
                <w:sz w:val="24"/>
                <w:szCs w:val="24"/>
              </w:rPr>
              <w:t> Философский смысл социального порядка.</w:t>
            </w:r>
          </w:p>
          <w:p>
            <w:pPr>
              <w:jc w:val="both"/>
              <w:spacing w:after="0" w:line="240" w:lineRule="auto"/>
              <w:rPr>
                <w:sz w:val="24"/>
                <w:szCs w:val="24"/>
              </w:rPr>
            </w:pPr>
            <w:r>
              <w:rPr>
                <w:rFonts w:ascii="Times New Roman" w:hAnsi="Times New Roman" w:cs="Times New Roman"/>
                <w:color w:val="#000000"/>
                <w:sz w:val="24"/>
                <w:szCs w:val="24"/>
              </w:rPr>
              <w:t> Понятие социальной общности. Социальные общности и объединения. Формальные и</w:t>
            </w:r>
          </w:p>
          <w:p>
            <w:pPr>
              <w:jc w:val="both"/>
              <w:spacing w:after="0" w:line="240" w:lineRule="auto"/>
              <w:rPr>
                <w:sz w:val="24"/>
                <w:szCs w:val="24"/>
              </w:rPr>
            </w:pPr>
            <w:r>
              <w:rPr>
                <w:rFonts w:ascii="Times New Roman" w:hAnsi="Times New Roman" w:cs="Times New Roman"/>
                <w:color w:val="#000000"/>
                <w:sz w:val="24"/>
                <w:szCs w:val="24"/>
              </w:rPr>
              <w:t> неформальные объединения. Социальная структура общества.</w:t>
            </w:r>
          </w:p>
          <w:p>
            <w:pPr>
              <w:jc w:val="both"/>
              <w:spacing w:after="0" w:line="240" w:lineRule="auto"/>
              <w:rPr>
                <w:sz w:val="24"/>
                <w:szCs w:val="24"/>
              </w:rPr>
            </w:pPr>
            <w:r>
              <w:rPr>
                <w:rFonts w:ascii="Times New Roman" w:hAnsi="Times New Roman" w:cs="Times New Roman"/>
                <w:color w:val="#000000"/>
                <w:sz w:val="24"/>
                <w:szCs w:val="24"/>
              </w:rPr>
              <w:t> Проблема субъекта и объекта в социуме. Индивид, личность, общность, объединение.</w:t>
            </w:r>
          </w:p>
          <w:p>
            <w:pPr>
              <w:jc w:val="both"/>
              <w:spacing w:after="0" w:line="240" w:lineRule="auto"/>
              <w:rPr>
                <w:sz w:val="24"/>
                <w:szCs w:val="24"/>
              </w:rPr>
            </w:pPr>
            <w:r>
              <w:rPr>
                <w:rFonts w:ascii="Times New Roman" w:hAnsi="Times New Roman" w:cs="Times New Roman"/>
                <w:color w:val="#000000"/>
                <w:sz w:val="24"/>
                <w:szCs w:val="24"/>
              </w:rPr>
              <w:t> Индивид, личность, индивидуальность. Личность и общество. Проблема единства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социальной и</w:t>
            </w:r>
          </w:p>
          <w:p>
            <w:pPr>
              <w:jc w:val="both"/>
              <w:spacing w:after="0" w:line="240" w:lineRule="auto"/>
              <w:rPr>
                <w:sz w:val="24"/>
                <w:szCs w:val="24"/>
              </w:rPr>
            </w:pPr>
            <w:r>
              <w:rPr>
                <w:rFonts w:ascii="Times New Roman" w:hAnsi="Times New Roman" w:cs="Times New Roman"/>
                <w:color w:val="#000000"/>
                <w:sz w:val="24"/>
                <w:szCs w:val="24"/>
              </w:rPr>
              <w:t> человеческой реальности.</w:t>
            </w:r>
          </w:p>
          <w:p>
            <w:pPr>
              <w:jc w:val="both"/>
              <w:spacing w:after="0" w:line="240" w:lineRule="auto"/>
              <w:rPr>
                <w:sz w:val="24"/>
                <w:szCs w:val="24"/>
              </w:rPr>
            </w:pPr>
            <w:r>
              <w:rPr>
                <w:rFonts w:ascii="Times New Roman" w:hAnsi="Times New Roman" w:cs="Times New Roman"/>
                <w:color w:val="#000000"/>
                <w:sz w:val="24"/>
                <w:szCs w:val="24"/>
              </w:rPr>
              <w:t> Феномен социальной общности. Общность и общественное движение. Проблема иерархии в</w:t>
            </w:r>
          </w:p>
          <w:p>
            <w:pPr>
              <w:jc w:val="both"/>
              <w:spacing w:after="0" w:line="240" w:lineRule="auto"/>
              <w:rPr>
                <w:sz w:val="24"/>
                <w:szCs w:val="24"/>
              </w:rPr>
            </w:pPr>
            <w:r>
              <w:rPr>
                <w:rFonts w:ascii="Times New Roman" w:hAnsi="Times New Roman" w:cs="Times New Roman"/>
                <w:color w:val="#000000"/>
                <w:sz w:val="24"/>
                <w:szCs w:val="24"/>
              </w:rPr>
              <w:t> отношениях общностей: господствующие и подчиненные общности. Маргиналы и маргинальные</w:t>
            </w:r>
          </w:p>
          <w:p>
            <w:pPr>
              <w:jc w:val="both"/>
              <w:spacing w:after="0" w:line="240" w:lineRule="auto"/>
              <w:rPr>
                <w:sz w:val="24"/>
                <w:szCs w:val="24"/>
              </w:rPr>
            </w:pPr>
            <w:r>
              <w:rPr>
                <w:rFonts w:ascii="Times New Roman" w:hAnsi="Times New Roman" w:cs="Times New Roman"/>
                <w:color w:val="#000000"/>
                <w:sz w:val="24"/>
                <w:szCs w:val="24"/>
              </w:rPr>
              <w:t> общности.</w:t>
            </w:r>
          </w:p>
          <w:p>
            <w:pPr>
              <w:jc w:val="both"/>
              <w:spacing w:after="0" w:line="240" w:lineRule="auto"/>
              <w:rPr>
                <w:sz w:val="24"/>
                <w:szCs w:val="24"/>
              </w:rPr>
            </w:pPr>
            <w:r>
              <w:rPr>
                <w:rFonts w:ascii="Times New Roman" w:hAnsi="Times New Roman" w:cs="Times New Roman"/>
                <w:color w:val="#000000"/>
                <w:sz w:val="24"/>
                <w:szCs w:val="24"/>
              </w:rPr>
              <w:t> Возрастные общности: дети, молодежь, средний (зрелый) возраст, пожилой возраст</w:t>
            </w:r>
          </w:p>
          <w:p>
            <w:pPr>
              <w:jc w:val="both"/>
              <w:spacing w:after="0" w:line="240" w:lineRule="auto"/>
              <w:rPr>
                <w:sz w:val="24"/>
                <w:szCs w:val="24"/>
              </w:rPr>
            </w:pPr>
            <w:r>
              <w:rPr>
                <w:rFonts w:ascii="Times New Roman" w:hAnsi="Times New Roman" w:cs="Times New Roman"/>
                <w:color w:val="#000000"/>
                <w:sz w:val="24"/>
                <w:szCs w:val="24"/>
              </w:rPr>
              <w:t> (старики). Соотношение понятий: «общество» – «культура», «общность» – «субкультура»,</w:t>
            </w:r>
          </w:p>
          <w:p>
            <w:pPr>
              <w:jc w:val="both"/>
              <w:spacing w:after="0" w:line="240" w:lineRule="auto"/>
              <w:rPr>
                <w:sz w:val="24"/>
                <w:szCs w:val="24"/>
              </w:rPr>
            </w:pPr>
            <w:r>
              <w:rPr>
                <w:rFonts w:ascii="Times New Roman" w:hAnsi="Times New Roman" w:cs="Times New Roman"/>
                <w:color w:val="#000000"/>
                <w:sz w:val="24"/>
                <w:szCs w:val="24"/>
              </w:rPr>
              <w:t> «неформальное детское объединение» – «детская субкультура»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«Субкультура», «Детская культура» или «Детская субкультура»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«Субкультура», составляющие признаки субкультур, определение</w:t>
            </w:r>
          </w:p>
          <w:p>
            <w:pPr>
              <w:jc w:val="both"/>
              <w:spacing w:after="0" w:line="240" w:lineRule="auto"/>
              <w:rPr>
                <w:sz w:val="24"/>
                <w:szCs w:val="24"/>
              </w:rPr>
            </w:pPr>
            <w:r>
              <w:rPr>
                <w:rFonts w:ascii="Times New Roman" w:hAnsi="Times New Roman" w:cs="Times New Roman"/>
                <w:color w:val="#000000"/>
                <w:sz w:val="24"/>
                <w:szCs w:val="24"/>
              </w:rPr>
              <w:t> понятия «детская субкультура», факторы возникновения молодежной субкультуры. Смысловое</w:t>
            </w:r>
          </w:p>
          <w:p>
            <w:pPr>
              <w:jc w:val="both"/>
              <w:spacing w:after="0" w:line="240" w:lineRule="auto"/>
              <w:rPr>
                <w:sz w:val="24"/>
                <w:szCs w:val="24"/>
              </w:rPr>
            </w:pPr>
            <w:r>
              <w:rPr>
                <w:rFonts w:ascii="Times New Roman" w:hAnsi="Times New Roman" w:cs="Times New Roman"/>
                <w:color w:val="#000000"/>
                <w:sz w:val="24"/>
                <w:szCs w:val="24"/>
              </w:rPr>
              <w:t> содержание понятия «детская культура», соотношение понятий «детская культура» и «детская</w:t>
            </w:r>
          </w:p>
          <w:p>
            <w:pPr>
              <w:jc w:val="both"/>
              <w:spacing w:after="0" w:line="240" w:lineRule="auto"/>
              <w:rPr>
                <w:sz w:val="24"/>
                <w:szCs w:val="24"/>
              </w:rPr>
            </w:pPr>
            <w:r>
              <w:rPr>
                <w:rFonts w:ascii="Times New Roman" w:hAnsi="Times New Roman" w:cs="Times New Roman"/>
                <w:color w:val="#000000"/>
                <w:sz w:val="24"/>
                <w:szCs w:val="24"/>
              </w:rPr>
              <w:t> субкультура».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Социально-исторические условия и причины появления детской субкультуры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формирования детской субкультуры. Природа субкультур: биология возраста,</w:t>
            </w:r>
          </w:p>
          <w:p>
            <w:pPr>
              <w:jc w:val="both"/>
              <w:spacing w:after="0" w:line="240" w:lineRule="auto"/>
              <w:rPr>
                <w:sz w:val="24"/>
                <w:szCs w:val="24"/>
              </w:rPr>
            </w:pPr>
            <w:r>
              <w:rPr>
                <w:rFonts w:ascii="Times New Roman" w:hAnsi="Times New Roman" w:cs="Times New Roman"/>
                <w:color w:val="#000000"/>
                <w:sz w:val="24"/>
                <w:szCs w:val="24"/>
              </w:rPr>
              <w:t> психология возраста, социология. Генезис детской субкультуры. Психологические причины и</w:t>
            </w:r>
          </w:p>
          <w:p>
            <w:pPr>
              <w:jc w:val="both"/>
              <w:spacing w:after="0" w:line="240" w:lineRule="auto"/>
              <w:rPr>
                <w:sz w:val="24"/>
                <w:szCs w:val="24"/>
              </w:rPr>
            </w:pPr>
            <w:r>
              <w:rPr>
                <w:rFonts w:ascii="Times New Roman" w:hAnsi="Times New Roman" w:cs="Times New Roman"/>
                <w:color w:val="#000000"/>
                <w:sz w:val="24"/>
                <w:szCs w:val="24"/>
              </w:rPr>
              <w:t> факторы возникновения субкультур: потребность в обособлении, автономизации от взрослых;</w:t>
            </w:r>
          </w:p>
          <w:p>
            <w:pPr>
              <w:jc w:val="both"/>
              <w:spacing w:after="0" w:line="240" w:lineRule="auto"/>
              <w:rPr>
                <w:sz w:val="24"/>
                <w:szCs w:val="24"/>
              </w:rPr>
            </w:pPr>
            <w:r>
              <w:rPr>
                <w:rFonts w:ascii="Times New Roman" w:hAnsi="Times New Roman" w:cs="Times New Roman"/>
                <w:color w:val="#000000"/>
                <w:sz w:val="24"/>
                <w:szCs w:val="24"/>
              </w:rPr>
              <w:t> потребность в изживании конфликта со взрослыми; потребность в защите от подавления</w:t>
            </w:r>
          </w:p>
          <w:p>
            <w:pPr>
              <w:jc w:val="both"/>
              <w:spacing w:after="0" w:line="240" w:lineRule="auto"/>
              <w:rPr>
                <w:sz w:val="24"/>
                <w:szCs w:val="24"/>
              </w:rPr>
            </w:pPr>
            <w:r>
              <w:rPr>
                <w:rFonts w:ascii="Times New Roman" w:hAnsi="Times New Roman" w:cs="Times New Roman"/>
                <w:color w:val="#000000"/>
                <w:sz w:val="24"/>
                <w:szCs w:val="24"/>
              </w:rPr>
              <w:t> автономности в семье; потребность в принятии социумом, потребность в признании, преодолении</w:t>
            </w:r>
          </w:p>
          <w:p>
            <w:pPr>
              <w:jc w:val="both"/>
              <w:spacing w:after="0" w:line="240" w:lineRule="auto"/>
              <w:rPr>
                <w:sz w:val="24"/>
                <w:szCs w:val="24"/>
              </w:rPr>
            </w:pPr>
            <w:r>
              <w:rPr>
                <w:rFonts w:ascii="Times New Roman" w:hAnsi="Times New Roman" w:cs="Times New Roman"/>
                <w:color w:val="#000000"/>
                <w:sz w:val="24"/>
                <w:szCs w:val="24"/>
              </w:rPr>
              <w:t> комплекса неполноценности; потребность в смысле; потребность в получении удовольствий.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Сущностные характеристики и динамика неформальной детской субкультуры</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и экзистенциальные смыслы детской субкультуры. Характерные черты детской</w:t>
            </w:r>
          </w:p>
          <w:p>
            <w:pPr>
              <w:jc w:val="both"/>
              <w:spacing w:after="0" w:line="240" w:lineRule="auto"/>
              <w:rPr>
                <w:sz w:val="24"/>
                <w:szCs w:val="24"/>
              </w:rPr>
            </w:pPr>
            <w:r>
              <w:rPr>
                <w:rFonts w:ascii="Times New Roman" w:hAnsi="Times New Roman" w:cs="Times New Roman"/>
                <w:color w:val="#000000"/>
                <w:sz w:val="24"/>
                <w:szCs w:val="24"/>
              </w:rPr>
              <w:t> субкультуры. Соотношение «детской субкультуры» и «культуры для детей». Функции детской</w:t>
            </w:r>
          </w:p>
          <w:p>
            <w:pPr>
              <w:jc w:val="both"/>
              <w:spacing w:after="0" w:line="240" w:lineRule="auto"/>
              <w:rPr>
                <w:sz w:val="24"/>
                <w:szCs w:val="24"/>
              </w:rPr>
            </w:pPr>
            <w:r>
              <w:rPr>
                <w:rFonts w:ascii="Times New Roman" w:hAnsi="Times New Roman" w:cs="Times New Roman"/>
                <w:color w:val="#000000"/>
                <w:sz w:val="24"/>
                <w:szCs w:val="24"/>
              </w:rPr>
              <w:t> субкультуры. Катализаторы возникновения детской движений.</w:t>
            </w:r>
          </w:p>
          <w:p>
            <w:pPr>
              <w:jc w:val="both"/>
              <w:spacing w:after="0" w:line="240" w:lineRule="auto"/>
              <w:rPr>
                <w:sz w:val="24"/>
                <w:szCs w:val="24"/>
              </w:rPr>
            </w:pPr>
            <w:r>
              <w:rPr>
                <w:rFonts w:ascii="Times New Roman" w:hAnsi="Times New Roman" w:cs="Times New Roman"/>
                <w:color w:val="#000000"/>
                <w:sz w:val="24"/>
                <w:szCs w:val="24"/>
              </w:rPr>
              <w:t> Динамические процессы в неформальной детской субкультуре на микроуровне. Динамика</w:t>
            </w:r>
          </w:p>
          <w:p>
            <w:pPr>
              <w:jc w:val="both"/>
              <w:spacing w:after="0" w:line="240" w:lineRule="auto"/>
              <w:rPr>
                <w:sz w:val="24"/>
                <w:szCs w:val="24"/>
              </w:rPr>
            </w:pPr>
            <w:r>
              <w:rPr>
                <w:rFonts w:ascii="Times New Roman" w:hAnsi="Times New Roman" w:cs="Times New Roman"/>
                <w:color w:val="#000000"/>
                <w:sz w:val="24"/>
                <w:szCs w:val="24"/>
              </w:rPr>
              <w:t> неформальной детской субкультуры на личностном уровне. Стадия неформальной детской</w:t>
            </w:r>
          </w:p>
          <w:p>
            <w:pPr>
              <w:jc w:val="both"/>
              <w:spacing w:after="0" w:line="240" w:lineRule="auto"/>
              <w:rPr>
                <w:sz w:val="24"/>
                <w:szCs w:val="24"/>
              </w:rPr>
            </w:pPr>
            <w:r>
              <w:rPr>
                <w:rFonts w:ascii="Times New Roman" w:hAnsi="Times New Roman" w:cs="Times New Roman"/>
                <w:color w:val="#000000"/>
                <w:sz w:val="24"/>
                <w:szCs w:val="24"/>
              </w:rPr>
              <w:t> субкультуры как антитезис в гегелевской диалектической модели развития. Понятие лиминантной</w:t>
            </w:r>
          </w:p>
          <w:p>
            <w:pPr>
              <w:jc w:val="both"/>
              <w:spacing w:after="0" w:line="240" w:lineRule="auto"/>
              <w:rPr>
                <w:sz w:val="24"/>
                <w:szCs w:val="24"/>
              </w:rPr>
            </w:pPr>
            <w:r>
              <w:rPr>
                <w:rFonts w:ascii="Times New Roman" w:hAnsi="Times New Roman" w:cs="Times New Roman"/>
                <w:color w:val="#000000"/>
                <w:sz w:val="24"/>
                <w:szCs w:val="24"/>
              </w:rPr>
              <w:t> личности и лиминантного периода. Неформальная детской субкультура как стадия в динамике</w:t>
            </w:r>
          </w:p>
          <w:p>
            <w:pPr>
              <w:jc w:val="both"/>
              <w:spacing w:after="0" w:line="240" w:lineRule="auto"/>
              <w:rPr>
                <w:sz w:val="24"/>
                <w:szCs w:val="24"/>
              </w:rPr>
            </w:pPr>
            <w:r>
              <w:rPr>
                <w:rFonts w:ascii="Times New Roman" w:hAnsi="Times New Roman" w:cs="Times New Roman"/>
                <w:color w:val="#000000"/>
                <w:sz w:val="24"/>
                <w:szCs w:val="24"/>
              </w:rPr>
              <w:t> формирования личности ребенка, соответствующая лиминантному периоду (В. Тернер).</w:t>
            </w:r>
          </w:p>
          <w:p>
            <w:pPr>
              <w:jc w:val="both"/>
              <w:spacing w:after="0" w:line="240" w:lineRule="auto"/>
              <w:rPr>
                <w:sz w:val="24"/>
                <w:szCs w:val="24"/>
              </w:rPr>
            </w:pPr>
            <w:r>
              <w:rPr>
                <w:rFonts w:ascii="Times New Roman" w:hAnsi="Times New Roman" w:cs="Times New Roman"/>
                <w:color w:val="#000000"/>
                <w:sz w:val="24"/>
                <w:szCs w:val="24"/>
              </w:rPr>
              <w:t> Динамические процессы в неформальной детской субкультуре на макроуровне. Динамика</w:t>
            </w:r>
          </w:p>
          <w:p>
            <w:pPr>
              <w:jc w:val="both"/>
              <w:spacing w:after="0" w:line="240" w:lineRule="auto"/>
              <w:rPr>
                <w:sz w:val="24"/>
                <w:szCs w:val="24"/>
              </w:rPr>
            </w:pPr>
            <w:r>
              <w:rPr>
                <w:rFonts w:ascii="Times New Roman" w:hAnsi="Times New Roman" w:cs="Times New Roman"/>
                <w:color w:val="#000000"/>
                <w:sz w:val="24"/>
                <w:szCs w:val="24"/>
              </w:rPr>
              <w:t> неформальной детской субкультуры на макроуровне как результат внутренних процессов. Роль</w:t>
            </w:r>
          </w:p>
          <w:p>
            <w:pPr>
              <w:jc w:val="both"/>
              <w:spacing w:after="0" w:line="240" w:lineRule="auto"/>
              <w:rPr>
                <w:sz w:val="24"/>
                <w:szCs w:val="24"/>
              </w:rPr>
            </w:pPr>
            <w:r>
              <w:rPr>
                <w:rFonts w:ascii="Times New Roman" w:hAnsi="Times New Roman" w:cs="Times New Roman"/>
                <w:color w:val="#000000"/>
                <w:sz w:val="24"/>
                <w:szCs w:val="24"/>
              </w:rPr>
              <w:t> техники в динамике неформальной детской субкультуры на макроуровне. Динамика</w:t>
            </w:r>
          </w:p>
          <w:p>
            <w:pPr>
              <w:jc w:val="both"/>
              <w:spacing w:after="0" w:line="240" w:lineRule="auto"/>
              <w:rPr>
                <w:sz w:val="24"/>
                <w:szCs w:val="24"/>
              </w:rPr>
            </w:pPr>
            <w:r>
              <w:rPr>
                <w:rFonts w:ascii="Times New Roman" w:hAnsi="Times New Roman" w:cs="Times New Roman"/>
                <w:color w:val="#000000"/>
                <w:sz w:val="24"/>
                <w:szCs w:val="24"/>
              </w:rPr>
              <w:t> взаимодействия неформальной детской субкультуры и базовой культуры общества.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детской субкультуры, характеристика видового многообразия детских субкультур</w:t>
            </w:r>
          </w:p>
        </w:tc>
      </w:tr>
      <w:tr>
        <w:trPr>
          <w:trHeight w:hRule="exact" w:val="581.82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Многообразие подходов к классификации детских субкультур. Основания для</w:t>
            </w:r>
          </w:p>
          <w:p>
            <w:pPr>
              <w:jc w:val="both"/>
              <w:spacing w:after="0" w:line="240" w:lineRule="auto"/>
              <w:rPr>
                <w:sz w:val="24"/>
                <w:szCs w:val="24"/>
              </w:rPr>
            </w:pPr>
            <w:r>
              <w:rPr>
                <w:rFonts w:ascii="Times New Roman" w:hAnsi="Times New Roman" w:cs="Times New Roman"/>
                <w:color w:val="#000000"/>
                <w:sz w:val="24"/>
                <w:szCs w:val="24"/>
              </w:rPr>
              <w:t> типологизации детских субкультур: принадлежность, степень общения, направления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деятельности,</w:t>
            </w:r>
          </w:p>
          <w:p>
            <w:pPr>
              <w:jc w:val="both"/>
              <w:spacing w:after="0" w:line="240" w:lineRule="auto"/>
              <w:rPr>
                <w:sz w:val="24"/>
                <w:szCs w:val="24"/>
              </w:rPr>
            </w:pPr>
            <w:r>
              <w:rPr>
                <w:rFonts w:ascii="Times New Roman" w:hAnsi="Times New Roman" w:cs="Times New Roman"/>
                <w:color w:val="#000000"/>
                <w:sz w:val="24"/>
                <w:szCs w:val="24"/>
              </w:rPr>
              <w:t> степень конформности, экономический фактор. Неформальные объединения, признаки</w:t>
            </w:r>
          </w:p>
          <w:p>
            <w:pPr>
              <w:jc w:val="both"/>
              <w:spacing w:after="0" w:line="240" w:lineRule="auto"/>
              <w:rPr>
                <w:sz w:val="24"/>
                <w:szCs w:val="24"/>
              </w:rPr>
            </w:pPr>
            <w:r>
              <w:rPr>
                <w:rFonts w:ascii="Times New Roman" w:hAnsi="Times New Roman" w:cs="Times New Roman"/>
                <w:color w:val="#000000"/>
                <w:sz w:val="24"/>
                <w:szCs w:val="24"/>
              </w:rPr>
              <w:t> неформалов. Классификация неформальных объединений: асоциальные, антисоциальные,</w:t>
            </w:r>
          </w:p>
          <w:p>
            <w:pPr>
              <w:jc w:val="both"/>
              <w:spacing w:after="0" w:line="240" w:lineRule="auto"/>
              <w:rPr>
                <w:sz w:val="24"/>
                <w:szCs w:val="24"/>
              </w:rPr>
            </w:pPr>
            <w:r>
              <w:rPr>
                <w:rFonts w:ascii="Times New Roman" w:hAnsi="Times New Roman" w:cs="Times New Roman"/>
                <w:color w:val="#000000"/>
                <w:sz w:val="24"/>
                <w:szCs w:val="24"/>
              </w:rPr>
              <w:t> просоциальные. Детские объединения и их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Детская субкультура как способ самоидентификации и социализации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детских субкультур как социально-психологическое явление. Понятие</w:t>
            </w:r>
          </w:p>
          <w:p>
            <w:pPr>
              <w:jc w:val="both"/>
              <w:spacing w:after="0" w:line="240" w:lineRule="auto"/>
              <w:rPr>
                <w:sz w:val="24"/>
                <w:szCs w:val="24"/>
              </w:rPr>
            </w:pPr>
            <w:r>
              <w:rPr>
                <w:rFonts w:ascii="Times New Roman" w:hAnsi="Times New Roman" w:cs="Times New Roman"/>
                <w:color w:val="#000000"/>
                <w:sz w:val="24"/>
                <w:szCs w:val="24"/>
              </w:rPr>
              <w:t> социализации, условия и факторы социализации: мегафакторы, макрофакторы, мезофакторы,</w:t>
            </w:r>
          </w:p>
          <w:p>
            <w:pPr>
              <w:jc w:val="both"/>
              <w:spacing w:after="0" w:line="240" w:lineRule="auto"/>
              <w:rPr>
                <w:sz w:val="24"/>
                <w:szCs w:val="24"/>
              </w:rPr>
            </w:pPr>
            <w:r>
              <w:rPr>
                <w:rFonts w:ascii="Times New Roman" w:hAnsi="Times New Roman" w:cs="Times New Roman"/>
                <w:color w:val="#000000"/>
                <w:sz w:val="24"/>
                <w:szCs w:val="24"/>
              </w:rPr>
              <w:t> микрофакторы. Детская субкультура как способ самоидентификации. Механизмы социализации:</w:t>
            </w:r>
          </w:p>
          <w:p>
            <w:pPr>
              <w:jc w:val="both"/>
              <w:spacing w:after="0" w:line="240" w:lineRule="auto"/>
              <w:rPr>
                <w:sz w:val="24"/>
                <w:szCs w:val="24"/>
              </w:rPr>
            </w:pPr>
            <w:r>
              <w:rPr>
                <w:rFonts w:ascii="Times New Roman" w:hAnsi="Times New Roman" w:cs="Times New Roman"/>
                <w:color w:val="#000000"/>
                <w:sz w:val="24"/>
                <w:szCs w:val="24"/>
              </w:rPr>
              <w:t> традиционный, институциональный, стилизованный, межличностный. Социализация детей</w:t>
            </w:r>
          </w:p>
          <w:p>
            <w:pPr>
              <w:jc w:val="both"/>
              <w:spacing w:after="0" w:line="240" w:lineRule="auto"/>
              <w:rPr>
                <w:sz w:val="24"/>
                <w:szCs w:val="24"/>
              </w:rPr>
            </w:pPr>
            <w:r>
              <w:rPr>
                <w:rFonts w:ascii="Times New Roman" w:hAnsi="Times New Roman" w:cs="Times New Roman"/>
                <w:color w:val="#000000"/>
                <w:sz w:val="24"/>
                <w:szCs w:val="24"/>
              </w:rPr>
              <w:t> посредством субкультур.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"Детская</w:t>
            </w:r>
          </w:p>
          <w:p>
            <w:pPr>
              <w:jc w:val="center"/>
              <w:spacing w:after="0" w:line="240" w:lineRule="auto"/>
              <w:rPr>
                <w:sz w:val="24"/>
                <w:szCs w:val="24"/>
              </w:rPr>
            </w:pPr>
            <w:r>
              <w:rPr>
                <w:rFonts w:ascii="Times New Roman" w:hAnsi="Times New Roman" w:cs="Times New Roman"/>
                <w:b/>
                <w:color w:val="#000000"/>
                <w:sz w:val="24"/>
                <w:szCs w:val="24"/>
              </w:rPr>
              <w:t> культура", "Детская субкультура", "Детская</w:t>
            </w:r>
          </w:p>
          <w:p>
            <w:pPr>
              <w:jc w:val="center"/>
              <w:spacing w:after="0" w:line="240" w:lineRule="auto"/>
              <w:rPr>
                <w:sz w:val="24"/>
                <w:szCs w:val="24"/>
              </w:rPr>
            </w:pPr>
            <w:r>
              <w:rPr>
                <w:rFonts w:ascii="Times New Roman" w:hAnsi="Times New Roman" w:cs="Times New Roman"/>
                <w:b/>
                <w:color w:val="#000000"/>
                <w:sz w:val="24"/>
                <w:szCs w:val="24"/>
              </w:rPr>
              <w:t> контркультура", их</w:t>
            </w:r>
          </w:p>
          <w:p>
            <w:pPr>
              <w:jc w:val="center"/>
              <w:spacing w:after="0" w:line="240" w:lineRule="auto"/>
              <w:rPr>
                <w:sz w:val="24"/>
                <w:szCs w:val="24"/>
              </w:rPr>
            </w:pPr>
            <w:r>
              <w:rPr>
                <w:rFonts w:ascii="Times New Roman" w:hAnsi="Times New Roman" w:cs="Times New Roman"/>
                <w:b/>
                <w:color w:val="#000000"/>
                <w:sz w:val="24"/>
                <w:szCs w:val="24"/>
              </w:rPr>
              <w:t> специфика и</w:t>
            </w:r>
          </w:p>
          <w:p>
            <w:pPr>
              <w:jc w:val="center"/>
              <w:spacing w:after="0" w:line="240" w:lineRule="auto"/>
              <w:rPr>
                <w:sz w:val="24"/>
                <w:szCs w:val="24"/>
              </w:rPr>
            </w:pPr>
            <w:r>
              <w:rPr>
                <w:rFonts w:ascii="Times New Roman" w:hAnsi="Times New Roman" w:cs="Times New Roman"/>
                <w:b/>
                <w:color w:val="#000000"/>
                <w:sz w:val="24"/>
                <w:szCs w:val="24"/>
              </w:rPr>
              <w:t> взаимосвязь. Теории социокультурной дифференциации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детских субкультур в индустриальном и постиндустриальном обществе. История изучения детских субкультур в</w:t>
            </w:r>
          </w:p>
          <w:p>
            <w:pPr>
              <w:jc w:val="left"/>
              <w:spacing w:after="0" w:line="240" w:lineRule="auto"/>
              <w:rPr>
                <w:sz w:val="24"/>
                <w:szCs w:val="24"/>
              </w:rPr>
            </w:pPr>
            <w:r>
              <w:rPr>
                <w:rFonts w:ascii="Times New Roman" w:hAnsi="Times New Roman" w:cs="Times New Roman"/>
                <w:color w:val="#000000"/>
                <w:sz w:val="24"/>
                <w:szCs w:val="24"/>
              </w:rPr>
              <w:t> мировой и отечественной социальной науке. Изучение субкультур</w:t>
            </w:r>
          </w:p>
          <w:p>
            <w:pPr>
              <w:jc w:val="left"/>
              <w:spacing w:after="0" w:line="240" w:lineRule="auto"/>
              <w:rPr>
                <w:sz w:val="24"/>
                <w:szCs w:val="24"/>
              </w:rPr>
            </w:pPr>
            <w:r>
              <w:rPr>
                <w:rFonts w:ascii="Times New Roman" w:hAnsi="Times New Roman" w:cs="Times New Roman"/>
                <w:color w:val="#000000"/>
                <w:sz w:val="24"/>
                <w:szCs w:val="24"/>
              </w:rPr>
              <w:t> в терминах социального протеста, конфликта поколений, культурной трансформации, альтернативных жизненных стилей, потребительских моделей, подсистем культуры, элементов складывающейся глобальной культуры. Детские субкультуры как проявление</w:t>
            </w:r>
          </w:p>
          <w:p>
            <w:pPr>
              <w:jc w:val="left"/>
              <w:spacing w:after="0" w:line="240" w:lineRule="auto"/>
              <w:rPr>
                <w:sz w:val="24"/>
                <w:szCs w:val="24"/>
              </w:rPr>
            </w:pPr>
            <w:r>
              <w:rPr>
                <w:rFonts w:ascii="Times New Roman" w:hAnsi="Times New Roman" w:cs="Times New Roman"/>
                <w:color w:val="#000000"/>
                <w:sz w:val="24"/>
                <w:szCs w:val="24"/>
              </w:rPr>
              <w:t> социокультурной дифференциации современного общества. Основные концепции социокультурной дифференциации: теории</w:t>
            </w:r>
          </w:p>
          <w:p>
            <w:pPr>
              <w:jc w:val="left"/>
              <w:spacing w:after="0" w:line="240" w:lineRule="auto"/>
              <w:rPr>
                <w:sz w:val="24"/>
                <w:szCs w:val="24"/>
              </w:rPr>
            </w:pPr>
            <w:r>
              <w:rPr>
                <w:rFonts w:ascii="Times New Roman" w:hAnsi="Times New Roman" w:cs="Times New Roman"/>
                <w:color w:val="#000000"/>
                <w:sz w:val="24"/>
                <w:szCs w:val="24"/>
              </w:rPr>
              <w:t> социальной стратификации, жизненных стилей, социокультурной</w:t>
            </w:r>
          </w:p>
          <w:p>
            <w:pPr>
              <w:jc w:val="left"/>
              <w:spacing w:after="0" w:line="240" w:lineRule="auto"/>
              <w:rPr>
                <w:sz w:val="24"/>
                <w:szCs w:val="24"/>
              </w:rPr>
            </w:pPr>
            <w:r>
              <w:rPr>
                <w:rFonts w:ascii="Times New Roman" w:hAnsi="Times New Roman" w:cs="Times New Roman"/>
                <w:color w:val="#000000"/>
                <w:sz w:val="24"/>
                <w:szCs w:val="24"/>
              </w:rPr>
              <w:t> среды. Понятийный аппарат изучения детских культур: понятия контркультуры, субкультуры, детской культуры. Тенденция переопределения социологических понятий в контексте развития процессов глобализации. Трансформация понятий субкультуры, среды, сообщества.</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Детская культура как система</w:t>
            </w:r>
          </w:p>
          <w:p>
            <w:pPr>
              <w:jc w:val="center"/>
              <w:spacing w:after="0" w:line="240" w:lineRule="auto"/>
              <w:rPr>
                <w:sz w:val="24"/>
                <w:szCs w:val="24"/>
              </w:rPr>
            </w:pPr>
            <w:r>
              <w:rPr>
                <w:rFonts w:ascii="Times New Roman" w:hAnsi="Times New Roman" w:cs="Times New Roman"/>
                <w:b/>
                <w:color w:val="#000000"/>
                <w:sz w:val="24"/>
                <w:szCs w:val="24"/>
              </w:rPr>
              <w:t> субкультур. Значение субкультуры для развития</w:t>
            </w:r>
          </w:p>
          <w:p>
            <w:pPr>
              <w:jc w:val="center"/>
              <w:spacing w:after="0" w:line="240" w:lineRule="auto"/>
              <w:rPr>
                <w:sz w:val="24"/>
                <w:szCs w:val="24"/>
              </w:rPr>
            </w:pPr>
            <w:r>
              <w:rPr>
                <w:rFonts w:ascii="Times New Roman" w:hAnsi="Times New Roman" w:cs="Times New Roman"/>
                <w:b/>
                <w:color w:val="#000000"/>
                <w:sz w:val="24"/>
                <w:szCs w:val="24"/>
              </w:rPr>
              <w:t> детей.</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Краткий исторический очерк развития детских субкультур в</w:t>
            </w:r>
          </w:p>
          <w:p>
            <w:pPr>
              <w:jc w:val="left"/>
              <w:spacing w:after="0" w:line="240" w:lineRule="auto"/>
              <w:rPr>
                <w:sz w:val="24"/>
                <w:szCs w:val="24"/>
              </w:rPr>
            </w:pPr>
            <w:r>
              <w:rPr>
                <w:rFonts w:ascii="Times New Roman" w:hAnsi="Times New Roman" w:cs="Times New Roman"/>
                <w:color w:val="#000000"/>
                <w:sz w:val="24"/>
                <w:szCs w:val="24"/>
              </w:rPr>
              <w:t> мире и в России.  Основания классификации детских</w:t>
            </w:r>
          </w:p>
          <w:p>
            <w:pPr>
              <w:jc w:val="left"/>
              <w:spacing w:after="0" w:line="240" w:lineRule="auto"/>
              <w:rPr>
                <w:sz w:val="24"/>
                <w:szCs w:val="24"/>
              </w:rPr>
            </w:pPr>
            <w:r>
              <w:rPr>
                <w:rFonts w:ascii="Times New Roman" w:hAnsi="Times New Roman" w:cs="Times New Roman"/>
                <w:color w:val="#000000"/>
                <w:sz w:val="24"/>
                <w:szCs w:val="24"/>
              </w:rPr>
              <w:t> культур: социальная активность; гендерные траектории; консолидирующие символы</w:t>
            </w:r>
          </w:p>
        </w:tc>
      </w:tr>
      <w:tr>
        <w:trPr>
          <w:trHeight w:hRule="exact" w:val="8.08482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Отчуждение и самоотчуждение от ценностей культуры.</w:t>
            </w:r>
          </w:p>
          <w:p>
            <w:pPr>
              <w:jc w:val="center"/>
              <w:spacing w:after="0" w:line="240" w:lineRule="auto"/>
              <w:rPr>
                <w:sz w:val="24"/>
                <w:szCs w:val="24"/>
              </w:rPr>
            </w:pPr>
            <w:r>
              <w:rPr>
                <w:rFonts w:ascii="Times New Roman" w:hAnsi="Times New Roman" w:cs="Times New Roman"/>
                <w:b/>
                <w:color w:val="#000000"/>
                <w:sz w:val="24"/>
                <w:szCs w:val="24"/>
              </w:rPr>
              <w:t> Преемственность</w:t>
            </w:r>
          </w:p>
          <w:p>
            <w:pPr>
              <w:jc w:val="center"/>
              <w:spacing w:after="0" w:line="240" w:lineRule="auto"/>
              <w:rPr>
                <w:sz w:val="24"/>
                <w:szCs w:val="24"/>
              </w:rPr>
            </w:pPr>
            <w:r>
              <w:rPr>
                <w:rFonts w:ascii="Times New Roman" w:hAnsi="Times New Roman" w:cs="Times New Roman"/>
                <w:b/>
                <w:color w:val="#000000"/>
                <w:sz w:val="24"/>
                <w:szCs w:val="24"/>
              </w:rPr>
              <w:t> культурных ценностей и традиций</w:t>
            </w:r>
          </w:p>
          <w:p>
            <w:pPr>
              <w:jc w:val="center"/>
              <w:spacing w:after="0" w:line="240" w:lineRule="auto"/>
              <w:rPr>
                <w:sz w:val="24"/>
                <w:szCs w:val="24"/>
              </w:rPr>
            </w:pPr>
            <w:r>
              <w:rPr>
                <w:rFonts w:ascii="Times New Roman" w:hAnsi="Times New Roman" w:cs="Times New Roman"/>
                <w:b/>
                <w:color w:val="#000000"/>
                <w:sz w:val="24"/>
                <w:szCs w:val="24"/>
              </w:rPr>
              <w:t> в жизни разных</w:t>
            </w:r>
          </w:p>
          <w:p>
            <w:pPr>
              <w:jc w:val="center"/>
              <w:spacing w:after="0" w:line="240" w:lineRule="auto"/>
              <w:rPr>
                <w:sz w:val="24"/>
                <w:szCs w:val="24"/>
              </w:rPr>
            </w:pPr>
            <w:r>
              <w:rPr>
                <w:rFonts w:ascii="Times New Roman" w:hAnsi="Times New Roman" w:cs="Times New Roman"/>
                <w:b/>
                <w:color w:val="#000000"/>
                <w:sz w:val="24"/>
                <w:szCs w:val="24"/>
              </w:rPr>
              <w:t> поколений. Проблематизация</w:t>
            </w:r>
          </w:p>
          <w:p>
            <w:pPr>
              <w:jc w:val="center"/>
              <w:spacing w:after="0" w:line="240" w:lineRule="auto"/>
              <w:rPr>
                <w:sz w:val="24"/>
                <w:szCs w:val="24"/>
              </w:rPr>
            </w:pPr>
            <w:r>
              <w:rPr>
                <w:rFonts w:ascii="Times New Roman" w:hAnsi="Times New Roman" w:cs="Times New Roman"/>
                <w:b/>
                <w:color w:val="#000000"/>
                <w:sz w:val="24"/>
                <w:szCs w:val="24"/>
              </w:rPr>
              <w:t> идентичности: игра и реконструкция.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проблемы «Субкультура и идентичность». Аспекты коллективной идентичности в субкультурных средах.</w:t>
            </w:r>
          </w:p>
          <w:p>
            <w:pPr>
              <w:jc w:val="left"/>
              <w:spacing w:after="0" w:line="240" w:lineRule="auto"/>
              <w:rPr>
                <w:sz w:val="24"/>
                <w:szCs w:val="24"/>
              </w:rPr>
            </w:pPr>
            <w:r>
              <w:rPr>
                <w:rFonts w:ascii="Times New Roman" w:hAnsi="Times New Roman" w:cs="Times New Roman"/>
                <w:color w:val="#000000"/>
                <w:sz w:val="24"/>
                <w:szCs w:val="24"/>
              </w:rPr>
              <w:t> Принадлежность к сообществу и восприятие субкультуры. Репрезентации идентичности. Смена имени, символические аспекты</w:t>
            </w:r>
          </w:p>
          <w:p>
            <w:pPr>
              <w:jc w:val="left"/>
              <w:spacing w:after="0" w:line="240" w:lineRule="auto"/>
              <w:rPr>
                <w:sz w:val="24"/>
                <w:szCs w:val="24"/>
              </w:rPr>
            </w:pPr>
            <w:r>
              <w:rPr>
                <w:rFonts w:ascii="Times New Roman" w:hAnsi="Times New Roman" w:cs="Times New Roman"/>
                <w:color w:val="#000000"/>
                <w:sz w:val="24"/>
                <w:szCs w:val="24"/>
              </w:rPr>
              <w:t> внешности и поведения.</w:t>
            </w:r>
          </w:p>
        </w:tc>
      </w:tr>
      <w:tr>
        <w:trPr>
          <w:trHeight w:hRule="exact" w:val="8.084821"/>
        </w:trPr>
        <w:tc>
          <w:tcPr>
            <w:tcW w:w="9640" w:type="dxa"/>
          </w:tcPr>
          <w:p/>
        </w:tc>
      </w:tr>
      <w:tr>
        <w:trPr>
          <w:trHeight w:hRule="exact" w:val="1298.1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детские субкультуры. Их типы,</w:t>
            </w:r>
          </w:p>
          <w:p>
            <w:pPr>
              <w:jc w:val="center"/>
              <w:spacing w:after="0" w:line="240" w:lineRule="auto"/>
              <w:rPr>
                <w:sz w:val="24"/>
                <w:szCs w:val="24"/>
              </w:rPr>
            </w:pPr>
            <w:r>
              <w:rPr>
                <w:rFonts w:ascii="Times New Roman" w:hAnsi="Times New Roman" w:cs="Times New Roman"/>
                <w:b/>
                <w:color w:val="#000000"/>
                <w:sz w:val="24"/>
                <w:szCs w:val="24"/>
              </w:rPr>
              <w:t> направленность.</w:t>
            </w:r>
          </w:p>
          <w:p>
            <w:pPr>
              <w:jc w:val="center"/>
              <w:spacing w:after="0" w:line="240" w:lineRule="auto"/>
              <w:rPr>
                <w:sz w:val="24"/>
                <w:szCs w:val="24"/>
              </w:rPr>
            </w:pPr>
            <w:r>
              <w:rPr>
                <w:rFonts w:ascii="Times New Roman" w:hAnsi="Times New Roman" w:cs="Times New Roman"/>
                <w:b/>
                <w:color w:val="#000000"/>
                <w:sz w:val="24"/>
                <w:szCs w:val="24"/>
              </w:rPr>
              <w:t> Символическое</w:t>
            </w:r>
          </w:p>
          <w:p>
            <w:pPr>
              <w:jc w:val="center"/>
              <w:spacing w:after="0" w:line="240" w:lineRule="auto"/>
              <w:rPr>
                <w:sz w:val="24"/>
                <w:szCs w:val="24"/>
              </w:rPr>
            </w:pPr>
            <w:r>
              <w:rPr>
                <w:rFonts w:ascii="Times New Roman" w:hAnsi="Times New Roman" w:cs="Times New Roman"/>
                <w:b/>
                <w:color w:val="#000000"/>
                <w:sz w:val="24"/>
                <w:szCs w:val="24"/>
              </w:rPr>
              <w:t> конструирование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сообщества</w:t>
            </w:r>
          </w:p>
        </w:tc>
      </w:tr>
      <w:tr>
        <w:trPr>
          <w:trHeight w:hRule="exact" w:val="21.31501"/>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Символическое конструирование сообщества. Культурное конструирование социальных отношений. Система социальных функций</w:t>
            </w:r>
          </w:p>
          <w:p>
            <w:pPr>
              <w:jc w:val="left"/>
              <w:spacing w:after="0" w:line="240" w:lineRule="auto"/>
              <w:rPr>
                <w:sz w:val="24"/>
                <w:szCs w:val="24"/>
              </w:rPr>
            </w:pPr>
            <w:r>
              <w:rPr>
                <w:rFonts w:ascii="Times New Roman" w:hAnsi="Times New Roman" w:cs="Times New Roman"/>
                <w:color w:val="#000000"/>
                <w:sz w:val="24"/>
                <w:szCs w:val="24"/>
              </w:rPr>
              <w:t> групповой символики: разграничение, поддержание иерархии,</w:t>
            </w:r>
          </w:p>
          <w:p>
            <w:pPr>
              <w:jc w:val="left"/>
              <w:spacing w:after="0" w:line="240" w:lineRule="auto"/>
              <w:rPr>
                <w:sz w:val="24"/>
                <w:szCs w:val="24"/>
              </w:rPr>
            </w:pPr>
            <w:r>
              <w:rPr>
                <w:rFonts w:ascii="Times New Roman" w:hAnsi="Times New Roman" w:cs="Times New Roman"/>
                <w:color w:val="#000000"/>
                <w:sz w:val="24"/>
                <w:szCs w:val="24"/>
              </w:rPr>
              <w:t> социальное управление, социальное воспроизводство. Роль групповой символики в трансляции норм. Семиотический анализ процессов внутригрупповой социализации.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детской субкультуры»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978-5-9916-3850-0.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https://www.biblio-online.ru/bcode/426323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детской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Выготский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978-5-534-06998-3.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https://urait.ru/bcode/437739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сверстниками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978-5-534-09928-7.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https://urait.ru/bcode/442268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Батурин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Останина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Уледова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Чурочкина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Батурин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978-5-238-02266-6.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Шафранов-Куцев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978-5-98704-600-5.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http://www.iprbookshop.ru/9148.html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http://www.iprbookshop.ru/10838.html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детства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Камалдинова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978-5-98079-861-1.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http://www.iprbookshop.ru/22463.html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31.992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(ПО)(24)_plx_Психология детской субкультуры</dc:title>
  <dc:creator>FastReport.NET</dc:creator>
</cp:coreProperties>
</file>